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Law Assignments</w:t>
      </w: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Name</w:t>
      </w:r>
    </w:p>
    <w:p>
      <w:pPr>
        <w:spacing w:before="0" w:after="160" w:line="259"/>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Institutional Affiliation</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COMPETENCY 1: ANALYSIS OF THE U.S LEGAL SYSTEM</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development of the current American legal system is often based on common law, administrative regulations, treaties, statutory laws and also constitutional laws. At both the state and federal levels, it is clear that the derivation of the original common laws system was aimed advancing the nature of fairness and justice to the legal system. According to Frankfurter, (2018), the signing of the United States constitution marked the guidance of the courts by establishing the Supreme law of the land. It is clear that the United States legal system is composed of different systems that have been linked together in many complex ways to provide a hybrid system that is currently applied to its structure (Kourlis, 2016).</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Historical Events in the US legal system</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From the history of the constitutional promulgation, it is clear that United States laws borrow from the common law legal tradition that has been the trend in the commonwealth countries. The signing of the US constitution in 1987 was a major step that contributed to the development of the United States legal structure and system around the world. This is the main reason why the United States is always keen on using stare decisis, which is a legal principle of judicial precedent in deciding its cases. In 1833, Philadelphia had adopted a policy of using common law principles in its legal structure. In addition, the United States also uses the principle of Equity as its main legal tradition such as injunctions to solve the common law cases. In terms of the criminal laws, the United States also regulates the social conduct by prohibiting, and also establishing laws that promote the moral, safety and healthy wealthy welfare for the people (Neef &amp; Nagel, 2017).</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United States established a court hierarchy that helps to define the degree in which decisions that are made by courts have an impact on the people. This is accomplished through the use of a three tiered structure in which there are trial courts and also the court of appeals. Once a case is began, it is taken to the district court, and its moves up to the Supreme Court. Every court has an established jurisdiction in which it exercises its principles leading to achievement of justice. In addition, the United States also uses a system of decentralization of its courts and also federalism system that helps to define the structure under which the courts perform their own functions and also duties (Neef &amp; Nagel, 2017).</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Christian faith is one of the major beliefs exercised in the United States of America. One of the significant impacts concerning law establishment was in 1850, where the Sunday law, which was a day of worship for Christians prohibited the carrying out of individual plays and exhibitions, was made constitutional (Hertzke et al., 2018). The making of Sunday laws constitutional portrayed an impact by Christians in the process of lawmaking, which was for the interest of American citizens since it enhanced moral values.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Significant events such as the 911 have also shaped the legal structure of the United States.  The event paved way for opening the government to be more focused on protection of the country over the issues of privacy in the state. This is a major significant event that occurred leading to the shaping of how the United States operates as a country (Frankfurter, 2018). </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Inclusion of all parties in the process of lawmaking without regarding others as a minority or not listening to the minority views. These aspects require attention from all stakeholders in the legal sector, including judges, elected public servants, lawyers, as well as citizen’s at large (Kourlis, 2016). The inclusion of all parties will ensure fairness in the legal sector where every citizen will be satisfied by the occurrences of the activities. Consequently, it will provide people to express their views without fear of contradiction or intimidation.</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it is evident that the US legal system is based on various sources and systems around the world that converge together to form an outstanding and iconic legal structure. Various sources of the law are also interrelated leading to improvement of the legal proceedings. The common law invokes uncertainty and confusion meaning that the court cases can be resolved in an amicable manner. Pure decisional cases laws are also helpful in solving thesen cases and also interpreting the inherent fairness that is done on those cases. Subsequent history is also used in the generation of the efficiency of these cases (Frankfurter, 2018). </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100" w:after="10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References</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Frankfurter, F. (2018). The Commerce Clause Under Marshall, Taney, and Waite. UNC Press Books.</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Hertzke, A. D., &amp; Olson, L. (2018). Religion and politics in America: faith, culture, and strategic choices. Routledge.</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Kourlis, R. L. (2016). Ten ways to reform the civil justice system by changing the culture of the courts. American Bar Association Journal, 14.</w:t>
      </w:r>
    </w:p>
    <w:p>
      <w:pPr>
        <w:spacing w:before="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Neef, M., &amp; Nagel, S. (2017). The Adversary Nature of the American Legal System: A Historical Perspective 1. In Lawyers' Ethics (pp. 73-98). Routledge.</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b/>
          <w:color w:val="000000"/>
          <w:spacing w:val="0"/>
          <w:position w:val="0"/>
          <w:sz w:val="24"/>
          <w:shd w:fill="auto" w:val="clear"/>
        </w:rPr>
      </w:pPr>
    </w:p>
    <w:p>
      <w:pPr>
        <w:spacing w:before="100" w:after="10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COMPETENCY 2: ORACLE V GOOGLE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Google v. Oracle America is an existing legal case involving issues of copyright law and also computer coding. In particular, the center of the dispute involves part of Java programming language that is owned by Oracle and versions of Android operating system that are owned by Google (Lopez-Tarruella, 2018). Upon initiation of the case, Google admitted the use of APIs within fair use but has currently transitioned into a copyright unburdened engine.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Legal Question</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legal question in this case is whether a company can own the basic commands that are used in the writing of software’s. Oracle and Google have been involved in a legal dispute over the copyright protection. Each company wants to know whether it is possible to have legal protection for software interface.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Parties Disputing</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parties involved in the dispute are Google, Inc and Oracle America. The center of the dispute is related to the currency copy right law and also computer coding by Java (Lopez-Tarruella, 2018).  The licensing of the software’s and their usage is the center of the dispute between the two parties.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Issues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main research questions addressed under this case was whether the issue of copy right protection extended to the software interface, and whether Google’s use of the software interfaces constituted a fair use. Currently, there is no legal statute that demonstrates that a company can own a basic coding language.  The parties disputing this case involve Google and Oracles use of Java as their main coding language. Arguably, the case before the court provides an argument of whether the application of the Merger Doctrine can apply to the Java APIs due to the fact that APIs have been described as purely functional. On the other hand, Oracle argues that the Merger doctrine should not apply in this case.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Rules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 case the court holds that Java APIs can be copyrighted, the major question would be whether the inclusion of the Java codes constitutes the fair use. When the case was taken to the lower courts, it was agreed that there was an issue of copyright infringement that had been violated (Lopez-Tarruella, 2018). Google did not agree with this case and upon subsequent applications and repeals, it has sought the supreme court for the definition of the limits of copyright infringement. It is clear that a fair use determination usually utilized a four factor test. The first is the nature of the work that has been copyrighted, the second is the purpose of the characters use, the third is the amount and substantiality of the portion used for the copyright and the last is the effect of the copyright to the potential market value.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Application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case uses the fair use doctrine in which the US usually permits the copyrighted material without the need for acquisition of the copyright holder. In the case of Folsom v. Marsh, the doctrine defined the character and purpose of usage, the nature of the copyrighted work, the amount of substantiality and the impact to the potential market. Additionally, the conclusion of this case will help in drawing a fine line in copyright protection in which the case will have provided a definition of the type of usage that does not violate a copyright or even define a fair usage (Paterson, 2017). </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Google v Oracle is a landmark case pending in adjudication in the Supreme Court in which a decision has to be made about whether creating a new computer program can constitute a fair use. The background of the case began when Google LLC had acquired android so as to develop a software program for its mobile devices. The subsequent incorporation of Java standard edition as part of its programming language was a major landmark case. However, the failure by Google not to license Java has led to a major issue of copyrighted information leading to a dispute of fair use with Oracle.</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100" w:after="100" w:line="24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References</w:t>
      </w:r>
    </w:p>
    <w:p>
      <w:pPr>
        <w:spacing w:before="100" w:after="100" w:line="480"/>
        <w:ind w:right="0" w:left="72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Lopez-Tarruella, A. (2018). </w:t>
      </w:r>
      <w:r>
        <w:rPr>
          <w:rFonts w:ascii="Times New Roman" w:hAnsi="Times New Roman" w:cs="Times New Roman" w:eastAsia="Times New Roman"/>
          <w:i/>
          <w:color w:val="000000"/>
          <w:spacing w:val="0"/>
          <w:position w:val="0"/>
          <w:sz w:val="24"/>
          <w:shd w:fill="auto" w:val="clear"/>
        </w:rPr>
        <w:t xml:space="preserve">Google and the law: Empirical approaches to legal aspects of knowledge-economy business models</w:t>
      </w:r>
      <w:r>
        <w:rPr>
          <w:rFonts w:ascii="Times New Roman" w:hAnsi="Times New Roman" w:cs="Times New Roman" w:eastAsia="Times New Roman"/>
          <w:color w:val="000000"/>
          <w:spacing w:val="0"/>
          <w:position w:val="0"/>
          <w:sz w:val="24"/>
          <w:shd w:fill="auto" w:val="clear"/>
        </w:rPr>
        <w:t xml:space="preserve">. The Hague [Netherlands: T.M.C. Asser Press.</w:t>
      </w:r>
    </w:p>
    <w:p>
      <w:pPr>
        <w:spacing w:before="100" w:after="100" w:line="480"/>
        <w:ind w:right="0" w:left="72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Paterson, A. (2017). </w:t>
      </w:r>
      <w:r>
        <w:rPr>
          <w:rFonts w:ascii="Times New Roman" w:hAnsi="Times New Roman" w:cs="Times New Roman" w:eastAsia="Times New Roman"/>
          <w:i/>
          <w:color w:val="000000"/>
          <w:spacing w:val="0"/>
          <w:position w:val="0"/>
          <w:sz w:val="24"/>
          <w:shd w:fill="auto" w:val="clear"/>
        </w:rPr>
        <w:t xml:space="preserve">Final Judgment: The Last Law Lords and the Supreme Court</w:t>
      </w:r>
      <w:r>
        <w:rPr>
          <w:rFonts w:ascii="Times New Roman" w:hAnsi="Times New Roman" w:cs="Times New Roman" w:eastAsia="Times New Roman"/>
          <w:color w:val="000000"/>
          <w:spacing w:val="0"/>
          <w:position w:val="0"/>
          <w:sz w:val="24"/>
          <w:shd w:fill="auto" w:val="clear"/>
        </w:rPr>
        <w:t xml:space="preserve">. Oxford: Hart Publishing Limited.</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COMPETENCY 3: CONTRACT CASE ANALYSIS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case of </w:t>
      </w:r>
      <w:r>
        <w:rPr>
          <w:rFonts w:ascii="Times New Roman" w:hAnsi="Times New Roman" w:cs="Times New Roman" w:eastAsia="Times New Roman"/>
          <w:i/>
          <w:color w:val="000000"/>
          <w:spacing w:val="0"/>
          <w:position w:val="0"/>
          <w:sz w:val="24"/>
          <w:shd w:fill="auto" w:val="clear"/>
        </w:rPr>
        <w:t xml:space="preserve">Leonard v. Pepsico, Inc (1999</w:t>
      </w:r>
      <w:r>
        <w:rPr>
          <w:rFonts w:ascii="Times New Roman" w:hAnsi="Times New Roman" w:cs="Times New Roman" w:eastAsia="Times New Roman"/>
          <w:color w:val="000000"/>
          <w:spacing w:val="0"/>
          <w:position w:val="0"/>
          <w:sz w:val="24"/>
          <w:shd w:fill="auto" w:val="clear"/>
        </w:rPr>
        <w:t xml:space="preserve">) is a landmark cases whose ruling established that an advertisement cannot be considered as a legal offer in a court of law and a reasonable person is not expected to take it seriously. The judges used the breach of contractual laws under the common law precedent to solve any emerging issues in this case. One of the major conclusions that can be made out of this case is that a definitive and operative offer to sell or buy goods through an advertisement in a handbill, a catalogue or a newspaper is always made to establish the basis for negotiation. These negotiations can be made out of circumstances that are clear and exceptional and can be used for unilateral offer. Any commercial can always be regarded as sufficiently definite due to the fact that it can be reserved for details that are used in the writing process (Garrette, Phelps &amp; Sibony, 2018). </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Facts of the Case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According to Ricks (2015), the facts of the case began when a Pepsi advert showed that points could be earned by the purchase of its products and exchanging them for Pepsi merchandise. The issue was proved that Pepsi commercial did not constitute an offers but rather had established initiations that could be used for the negotiation purposes </w:t>
      </w:r>
      <w:r>
        <w:rPr>
          <w:rFonts w:ascii="Times New Roman" w:hAnsi="Times New Roman" w:cs="Times New Roman" w:eastAsia="Times New Roman"/>
          <w:color w:val="222222"/>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Garrette, Phelps &amp; Sibony, 2018). </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Issues</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Moreover, Jennings (2018) states that the District Court for Southern District came into consensus with PepsiCo in the following grounds. There was no objective person who could have concluded that the commercial would offer harrier jet to consumers in exchange of points earned after buying Pepsi Cola. Secondly, the commercial could not be counted as an offer. Lastly, the alleged contract did not meet the legal statutes threshold.</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defendant in the case was PepsiCo Inc. which conducted a promotion offering to give out merchandise in exchange of points earned after purchasing PepsiCo. The commercial was composed of a teenager who gloated over various PepsiCo company issues, including arriving at school in Harrier Jet which was stated to be given after a customer wins points worth 7million. The plaintiff was John D.R. Leonard, who accused PepsiCo of failing to deliver the Harrier jet, yet he won and tendered point’s equivalent to 7million   </w:t>
      </w:r>
      <w:r>
        <w:rPr>
          <w:rFonts w:ascii="Times New Roman" w:hAnsi="Times New Roman" w:cs="Times New Roman" w:eastAsia="Times New Roman"/>
          <w:color w:val="222222"/>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Garrette, Phelps &amp; Sibony, 2018). </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Rules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According to the contractual rules, it was evident that there was no specific contractual performance that could be entitled to the plaintiff concerning the offering of the jet fighter plane as shown in the television advert in exchange for points earned when purchasing the product.</w:t>
      </w:r>
    </w:p>
    <w:p>
      <w:pPr>
        <w:spacing w:before="0" w:after="2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Application</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PepsiCo came into consensus with the United States District Court for the Southern District that the motion for summary judgment was to be conducted based on the following perspectives; first, no person of sound mind could have concluded that PepsiCo advert was meant to give a Harrier jet to a customer in exchange of points earned. Secondly, the contract reported to have been unlawfully terminated did not meet the New York statute of frauds. Lastly, the alleged contract did not reach the legal law's threshold </w:t>
      </w:r>
      <w:r>
        <w:rPr>
          <w:rFonts w:ascii="Times New Roman" w:hAnsi="Times New Roman" w:cs="Times New Roman" w:eastAsia="Times New Roman"/>
          <w:color w:val="222222"/>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Garrette, Phelps &amp; Sibony, 2018). </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three facts provided above were useful in concluding the case. After the court analyzed the provisions of the circumstances, it realized that a teenager did the advert in a Harrier jet. However, the commercial was exaggerated since the act of a teenager travelling to school in Jet was nothing short of overrated fantasy. As a result, the court made the following observation. First, the teenage youth featured in the commercial could not be trusted with not only parents jet’s keys but also those of car, and the price offered was far much less than </w:t>
      </w:r>
      <w:r>
        <w:rPr>
          <w:rFonts w:ascii="Times New Roman" w:hAnsi="Times New Roman" w:cs="Times New Roman" w:eastAsia="Times New Roman"/>
          <w:color w:val="222222"/>
          <w:spacing w:val="0"/>
          <w:position w:val="0"/>
          <w:sz w:val="24"/>
          <w:shd w:fill="auto" w:val="clear"/>
        </w:rPr>
        <w:t xml:space="preserve">United States Marine Corps (Ricks, 2015). Second, the teenager's comment that flying a jet "sure beats the bus" was baseless since there is no way one could pilot a fighter jet within a residential area. Lastly, there was no school which could admit students coming to school daily with aircraft due to the disruption it causes (</w:t>
      </w:r>
      <w:r>
        <w:rPr>
          <w:rFonts w:ascii="Times New Roman" w:hAnsi="Times New Roman" w:cs="Times New Roman" w:eastAsia="Times New Roman"/>
          <w:color w:val="000000"/>
          <w:spacing w:val="0"/>
          <w:position w:val="0"/>
          <w:sz w:val="24"/>
          <w:shd w:fill="auto" w:val="clear"/>
        </w:rPr>
        <w:t xml:space="preserve">Garrette, Phelps &amp; Sibony, 2018). </w:t>
      </w:r>
    </w:p>
    <w:p>
      <w:pPr>
        <w:spacing w:before="0" w:after="2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Based on the above discussion, it is evident that the plaintiff did not make thoughtful decisions while he was accepting the offer. Notably, a Harrier jet worth $23million could not be sold at 700 million. Again, there was no objective person who could have concluded that the commercial would offer harrier jet to consumers in exchange of points earned after buying a Pepsi Cola. Besides, the ad could not amount to offer. Notably, the alleged contract did not meet the New York legal statutes threshold. I agree with the court’s opinion since the price of the harrier jet and the content of the commercial did not reach the acceptable material facts of an advert. </w:t>
      </w:r>
    </w:p>
    <w:p>
      <w:pPr>
        <w:spacing w:before="100" w:after="2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br/>
      </w:r>
      <w:r>
        <w:rPr>
          <w:rFonts w:ascii="Times New Roman" w:hAnsi="Times New Roman" w:cs="Times New Roman" w:eastAsia="Times New Roman"/>
          <w:b/>
          <w:color w:val="000000"/>
          <w:spacing w:val="0"/>
          <w:position w:val="0"/>
          <w:sz w:val="24"/>
          <w:shd w:fill="auto" w:val="clear"/>
        </w:rPr>
        <w:t xml:space="preserve">References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Jennings, M. (2018). </w:t>
      </w:r>
      <w:r>
        <w:rPr>
          <w:rFonts w:ascii="Times New Roman" w:hAnsi="Times New Roman" w:cs="Times New Roman" w:eastAsia="Times New Roman"/>
          <w:i/>
          <w:color w:val="000000"/>
          <w:spacing w:val="0"/>
          <w:position w:val="0"/>
          <w:sz w:val="24"/>
          <w:shd w:fill="auto" w:val="clear"/>
        </w:rPr>
        <w:t xml:space="preserve">Business: Its legal, ethical, and global environment</w:t>
      </w:r>
      <w:r>
        <w:rPr>
          <w:rFonts w:ascii="Times New Roman" w:hAnsi="Times New Roman" w:cs="Times New Roman" w:eastAsia="Times New Roman"/>
          <w:color w:val="000000"/>
          <w:spacing w:val="0"/>
          <w:position w:val="0"/>
          <w:sz w:val="24"/>
          <w:shd w:fill="auto" w:val="clear"/>
        </w:rPr>
        <w:t xml:space="preserve">. Australia: Cengage Learning</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Garrette, B., Phelps, C., &amp; Sibony, O. (2018). </w:t>
      </w:r>
      <w:r>
        <w:rPr>
          <w:rFonts w:ascii="Times New Roman" w:hAnsi="Times New Roman" w:cs="Times New Roman" w:eastAsia="Times New Roman"/>
          <w:i/>
          <w:color w:val="000000"/>
          <w:spacing w:val="0"/>
          <w:position w:val="0"/>
          <w:sz w:val="24"/>
          <w:shd w:fill="auto" w:val="clear"/>
        </w:rPr>
        <w:t xml:space="preserve">Cracked it!: How to solve big problems and sell solutions like top strategy consultants</w:t>
      </w:r>
      <w:r>
        <w:rPr>
          <w:rFonts w:ascii="Times New Roman" w:hAnsi="Times New Roman" w:cs="Times New Roman" w:eastAsia="Times New Roman"/>
          <w:color w:val="000000"/>
          <w:spacing w:val="0"/>
          <w:position w:val="0"/>
          <w:sz w:val="24"/>
          <w:shd w:fill="auto" w:val="clear"/>
        </w:rPr>
        <w:t xml:space="preserv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Brennan, B., &amp; Schafer, L. (2020). </w:t>
      </w:r>
      <w:r>
        <w:rPr>
          <w:rFonts w:ascii="Times New Roman" w:hAnsi="Times New Roman" w:cs="Times New Roman" w:eastAsia="Times New Roman"/>
          <w:i/>
          <w:color w:val="000000"/>
          <w:spacing w:val="0"/>
          <w:position w:val="0"/>
          <w:sz w:val="24"/>
          <w:shd w:fill="auto" w:val="clear"/>
        </w:rPr>
        <w:t xml:space="preserve">Branded!: How retailers engage consumers with social media and mobility</w:t>
      </w:r>
      <w:r>
        <w:rPr>
          <w:rFonts w:ascii="Times New Roman" w:hAnsi="Times New Roman" w:cs="Times New Roman" w:eastAsia="Times New Roman"/>
          <w:color w:val="000000"/>
          <w:spacing w:val="0"/>
          <w:position w:val="0"/>
          <w:sz w:val="24"/>
          <w:shd w:fill="auto" w:val="clear"/>
        </w:rPr>
        <w:t xml:space="preserve">. Hoboken, N.J: Wiley.</w:t>
      </w:r>
    </w:p>
    <w:p>
      <w:pPr>
        <w:spacing w:before="0" w:after="2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Knapp, C. L., Crystal, N. M., &amp; Prince, H. G. (2019). </w:t>
      </w:r>
      <w:r>
        <w:rPr>
          <w:rFonts w:ascii="Times New Roman" w:hAnsi="Times New Roman" w:cs="Times New Roman" w:eastAsia="Times New Roman"/>
          <w:i/>
          <w:color w:val="222222"/>
          <w:spacing w:val="0"/>
          <w:position w:val="0"/>
          <w:sz w:val="24"/>
          <w:shd w:fill="auto" w:val="clear"/>
        </w:rPr>
        <w:t xml:space="preserve">Problems in contract law: Cases and</w:t>
      </w:r>
    </w:p>
    <w:p>
      <w:pPr>
        <w:spacing w:before="0" w:after="2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materials. Aspen Publishers.</w:t>
      </w:r>
    </w:p>
    <w:p>
      <w:pPr>
        <w:spacing w:before="0" w:after="200" w:line="480"/>
        <w:ind w:right="0" w:left="0" w:firstLine="0"/>
        <w:jc w:val="left"/>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Ricks, V. (2015). The Story of Contract Law: Formation. CALI eLangdell Press.</w:t>
      </w:r>
    </w:p>
    <w:p>
      <w:pPr>
        <w:spacing w:before="0" w:after="160" w:line="259"/>
        <w:ind w:right="0" w:left="0" w:firstLine="0"/>
        <w:jc w:val="left"/>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i/>
          <w:color w:val="222222"/>
          <w:spacing w:val="0"/>
          <w:position w:val="0"/>
          <w:sz w:val="24"/>
          <w:shd w:fill="auto" w:val="clear"/>
        </w:rPr>
      </w:pPr>
    </w:p>
    <w:p>
      <w:pPr>
        <w:spacing w:before="0" w:after="200" w:line="480"/>
        <w:ind w:right="0" w:left="0" w:firstLine="0"/>
        <w:jc w:val="left"/>
        <w:rPr>
          <w:rFonts w:ascii="Times New Roman" w:hAnsi="Times New Roman" w:cs="Times New Roman" w:eastAsia="Times New Roman"/>
          <w:b/>
          <w:color w:val="222222"/>
          <w:spacing w:val="0"/>
          <w:position w:val="0"/>
          <w:sz w:val="24"/>
          <w:shd w:fill="auto" w:val="clear"/>
        </w:rPr>
      </w:pPr>
      <w:r>
        <w:rPr>
          <w:rFonts w:ascii="Times New Roman" w:hAnsi="Times New Roman" w:cs="Times New Roman" w:eastAsia="Times New Roman"/>
          <w:b/>
          <w:color w:val="222222"/>
          <w:spacing w:val="0"/>
          <w:position w:val="0"/>
          <w:sz w:val="24"/>
          <w:shd w:fill="auto" w:val="clear"/>
        </w:rPr>
        <w:t xml:space="preserve">COMPETENCY 4: </w:t>
      </w:r>
      <w:r>
        <w:rPr>
          <w:rFonts w:ascii="Times New Roman" w:hAnsi="Times New Roman" w:cs="Times New Roman" w:eastAsia="Times New Roman"/>
          <w:b/>
          <w:color w:val="000000"/>
          <w:spacing w:val="0"/>
          <w:position w:val="0"/>
          <w:sz w:val="24"/>
          <w:shd w:fill="auto" w:val="clear"/>
        </w:rPr>
        <w:t xml:space="preserve">IMCLONE STOCK TRADING CASE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litigation involving Macy’s J.C Penny settled the lawsuit after accusing J.C Penny Company of having interfered with improperly with exclusive merchandizing agreement with Martha Stewart. The case involved two contracts involving three well known corporates. The first contract was based on Macy’s, a merchandizing Group and also a former defendant Martha Stewart Living Omnimedia. The second contract involved defendant Penny Corporation (JCP) and MSLO. The litigant had claimed that there was tortious interference in the contractual agreements.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Issue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In this case, it is evident that the Macy’s complaint against JCP had alleged tortious interference of the contract leading to unfair competition. In the case, JCP demanded to have punitive damages that stemmed from the allegations of improper conduct by JCP and unethical behavior by JCP causing a breach of the available contractual agreements. Macy sought to have punitive damages against JCP (Brennan &amp; Schafer, 2020).</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Rule</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trial court found that JCP had interfered with MSLO contract regarding the provision of agreements. JCP then appealed the case for determination. Upon appellate stages, it was found the JCP had violated the confidentiality rights leading to a major breach of contractual terms. The judge’s decision found that JC penny would not be allowed to claim the exclusive rights to sell any products. Macy’s won the case receiving damages for the breach of contract issue (Garrette, Phelps &amp; Sibony, 2018). </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Legislation Involved</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According to Henry (2013), the case has been solved using principles outlined in the Sarbanes-Oxley Act is a major legislation that is applicable in this case whose purpose is to strengthen audit committees, make officers and directors officially liable for accuracy of financial information in their companies, strengthen disclosure of any financial contract signed by the company and also strengthen the available audit committees in the organization.</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Analysis</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According to the Securities and Exchange Commission rules, a corporation is expected to provide reports of its daily trading to the directors, company officials and also supplementary members of the corporation for substantial admittance to its confidential information. In the year 2000, it was evident that the congress approved the Regulation Fair Disclosure, whose main focus was to control specific divulgence of information by organizations to confident investors and also different dealers. According to these rules, when a firm has opened a beforehand non-essential information especially that concerns a person, it should make information is accessible and also available to the current investors (Henry, 2013).</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w:t>
      </w:r>
    </w:p>
    <w:p>
      <w:pPr>
        <w:spacing w:before="10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the New York judge had established that J.C Penny illegally obstructed with an exclusive retailing contract stuck between Martha Stewart and Macy’s Living Omnimedia. Having founded that JCP was capable of processing the items, own the stock. Besides that JCP generally regulated all parts of the store. For this reason, it would cross paths with the away from of the vibrant language of an agreement with MSLO and Macy's, a contract that expects Macy's to make all MSLO merchandises in </w:t>
      </w:r>
      <w:r>
        <w:rPr>
          <w:rFonts w:ascii="Times New Roman" w:hAnsi="Times New Roman" w:cs="Times New Roman" w:eastAsia="Times New Roman"/>
          <w:i/>
          <w:color w:val="000000"/>
          <w:spacing w:val="0"/>
          <w:position w:val="0"/>
          <w:sz w:val="24"/>
          <w:shd w:fill="auto" w:val="clear"/>
        </w:rPr>
        <w:t xml:space="preserve">Exclusive Product Categories.</w:t>
      </w:r>
      <w:r>
        <w:rPr>
          <w:rFonts w:ascii="Times New Roman" w:hAnsi="Times New Roman" w:cs="Times New Roman" w:eastAsia="Times New Roman"/>
          <w:color w:val="000000"/>
          <w:spacing w:val="0"/>
          <w:position w:val="0"/>
          <w:sz w:val="24"/>
          <w:shd w:fill="auto" w:val="clear"/>
        </w:rPr>
        <w:t xml:space="preserve"> This is inclusive of MSLO supplies. Another reason is based on the fact that the court of law found that the steady endeavors of JCP to seek after MSLO and Martha were over the top.</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100" w:after="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IRAC Analysis</w:t>
      </w:r>
    </w:p>
    <w:p>
      <w:pPr>
        <w:spacing w:before="100" w:after="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If I was a judge, I would rule that the behavior of the personnel of JCP, in this case, was deliberate and was undoubtedly below any minimum typical of practices of a business as well as ethical behavior.</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100" w:after="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References</w:t>
      </w:r>
    </w:p>
    <w:p>
      <w:pPr>
        <w:spacing w:before="100" w:after="0" w:line="480"/>
        <w:ind w:right="0" w:left="72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Henry R. Cheeseman. (2013). </w:t>
      </w:r>
      <w:r>
        <w:rPr>
          <w:rFonts w:ascii="Times New Roman" w:hAnsi="Times New Roman" w:cs="Times New Roman" w:eastAsia="Times New Roman"/>
          <w:i/>
          <w:color w:val="000000"/>
          <w:spacing w:val="0"/>
          <w:position w:val="0"/>
          <w:sz w:val="24"/>
          <w:shd w:fill="auto" w:val="clear"/>
        </w:rPr>
        <w:t xml:space="preserve">Corporate Governance and the Sarbanes-Oxley Act in Business.</w:t>
      </w:r>
      <w:r>
        <w:rPr>
          <w:rFonts w:ascii="Times New Roman" w:hAnsi="Times New Roman" w:cs="Times New Roman" w:eastAsia="Times New Roman"/>
          <w:color w:val="000000"/>
          <w:spacing w:val="0"/>
          <w:position w:val="0"/>
          <w:sz w:val="24"/>
          <w:shd w:fill="auto" w:val="clear"/>
        </w:rPr>
        <w:t xml:space="preserve"> Regulations, requirements, and integrated processes. Pg. 628, and 629.</w:t>
      </w: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i/>
          <w:color w:val="222222"/>
          <w:spacing w:val="0"/>
          <w:position w:val="0"/>
          <w:sz w:val="24"/>
          <w:shd w:fill="auto" w:val="clear"/>
        </w:rPr>
      </w:pPr>
      <w:r>
        <w:rPr>
          <w:rFonts w:ascii="Times New Roman" w:hAnsi="Times New Roman" w:cs="Times New Roman" w:eastAsia="Times New Roman"/>
          <w:i/>
          <w:color w:val="222222"/>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i/>
          <w:color w:val="222222"/>
          <w:spacing w:val="0"/>
          <w:position w:val="0"/>
          <w:sz w:val="24"/>
          <w:shd w:fill="auto" w:val="clear"/>
        </w:rPr>
      </w:pPr>
    </w:p>
    <w:p>
      <w:pPr>
        <w:spacing w:before="0" w:after="200" w:line="480"/>
        <w:ind w:right="0" w:left="0" w:firstLine="0"/>
        <w:jc w:val="left"/>
        <w:rPr>
          <w:rFonts w:ascii="Times New Roman" w:hAnsi="Times New Roman" w:cs="Times New Roman" w:eastAsia="Times New Roman"/>
          <w:i/>
          <w:color w:val="222222"/>
          <w:spacing w:val="0"/>
          <w:position w:val="0"/>
          <w:sz w:val="24"/>
          <w:shd w:fill="auto" w:val="clear"/>
        </w:rPr>
      </w:pPr>
    </w:p>
    <w:p>
      <w:pPr>
        <w:spacing w:before="100" w:after="10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100" w:after="100" w:line="480"/>
        <w:ind w:right="0" w:left="72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